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A0" w:rsidRDefault="00BF7F1E">
      <w:pPr>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浙江大学</w:t>
      </w:r>
    </w:p>
    <w:p w:rsidR="00E342A0" w:rsidRDefault="00BF7F1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研究生教育研究课题管理办法（试行）</w:t>
      </w:r>
    </w:p>
    <w:p w:rsidR="00E342A0" w:rsidRDefault="00BF7F1E">
      <w:pPr>
        <w:jc w:val="center"/>
        <w:rPr>
          <w:rFonts w:ascii="方正小标宋简体" w:eastAsia="方正小标宋简体" w:hAnsi="方正小标宋简体" w:cs="方正小标宋简体"/>
          <w:sz w:val="36"/>
          <w:szCs w:val="36"/>
        </w:rPr>
      </w:pPr>
      <w:r w:rsidRPr="00A23DC9">
        <w:rPr>
          <w:rFonts w:ascii="仿宋" w:eastAsia="仿宋" w:hAnsi="仿宋" w:cs="仿宋" w:hint="eastAsia"/>
          <w:sz w:val="28"/>
          <w:szCs w:val="28"/>
        </w:rPr>
        <w:t>（2016年11月17日）</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总则</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为促进浙江大学研究生教育研究的发展和繁荣，规范课题管理，推动教育研究水平提高和成果应用，特制定本办法。</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本办法适用于研究生院批准立项的教研课题。</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研究生院调研室（以下简称“调研室”）负责课题管理各项工作。其主要职责有：征集、确定并发布课题指南，组织课题申报、评审、检查和验收。</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课题申报与评审</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研究生教育研究课题必须符合国家法律、法规和学校有关政策，为研究生教育改革和发展实践服务。</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研究生教育研究课题的选题主要以调研</w:t>
      </w:r>
      <w:proofErr w:type="gramStart"/>
      <w:r>
        <w:rPr>
          <w:rFonts w:ascii="仿宋" w:eastAsia="仿宋" w:hAnsi="仿宋" w:cs="仿宋" w:hint="eastAsia"/>
          <w:sz w:val="28"/>
          <w:szCs w:val="28"/>
        </w:rPr>
        <w:t>室发布</w:t>
      </w:r>
      <w:proofErr w:type="gramEnd"/>
      <w:r>
        <w:rPr>
          <w:rFonts w:ascii="仿宋" w:eastAsia="仿宋" w:hAnsi="仿宋" w:cs="仿宋" w:hint="eastAsia"/>
          <w:sz w:val="28"/>
          <w:szCs w:val="28"/>
        </w:rPr>
        <w:t>课题指南的方式进行。课题分</w:t>
      </w:r>
      <w:r w:rsidRPr="003F3FE3">
        <w:rPr>
          <w:rFonts w:ascii="仿宋" w:eastAsia="仿宋" w:hAnsi="仿宋" w:cs="仿宋" w:hint="eastAsia"/>
          <w:sz w:val="28"/>
          <w:szCs w:val="28"/>
        </w:rPr>
        <w:t>为</w:t>
      </w:r>
      <w:r w:rsidR="008915F6" w:rsidRPr="003F3FE3">
        <w:rPr>
          <w:rFonts w:ascii="仿宋" w:eastAsia="仿宋" w:hAnsi="仿宋" w:cs="仿宋" w:hint="eastAsia"/>
          <w:sz w:val="28"/>
          <w:szCs w:val="28"/>
        </w:rPr>
        <w:t>重大委托课题、</w:t>
      </w:r>
      <w:r w:rsidRPr="003F3FE3">
        <w:rPr>
          <w:rFonts w:ascii="仿宋" w:eastAsia="仿宋" w:hAnsi="仿宋" w:cs="仿宋" w:hint="eastAsia"/>
          <w:sz w:val="28"/>
          <w:szCs w:val="28"/>
        </w:rPr>
        <w:t>重点课题和</w:t>
      </w:r>
      <w:proofErr w:type="gramStart"/>
      <w:r w:rsidRPr="003F3FE3">
        <w:rPr>
          <w:rFonts w:ascii="仿宋" w:eastAsia="仿宋" w:hAnsi="仿宋" w:cs="仿宋" w:hint="eastAsia"/>
          <w:sz w:val="28"/>
          <w:szCs w:val="28"/>
        </w:rPr>
        <w:t>一般课题</w:t>
      </w:r>
      <w:proofErr w:type="gramEnd"/>
      <w:r w:rsidR="008915F6" w:rsidRPr="003F3FE3">
        <w:rPr>
          <w:rFonts w:ascii="仿宋" w:eastAsia="仿宋" w:hAnsi="仿宋" w:cs="仿宋" w:hint="eastAsia"/>
          <w:sz w:val="28"/>
          <w:szCs w:val="28"/>
        </w:rPr>
        <w:t>三类</w:t>
      </w:r>
      <w:r>
        <w:rPr>
          <w:rFonts w:ascii="仿宋" w:eastAsia="仿宋" w:hAnsi="仿宋" w:cs="仿宋" w:hint="eastAsia"/>
          <w:sz w:val="28"/>
          <w:szCs w:val="28"/>
        </w:rPr>
        <w:t>。</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调研室根据研究生院等学校行政部门急需研究的重大问题，不定期征集并确定若干委托研究课题，单独立项。</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课题申报条件</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课题申请人或负责人一般应为本校师生，具有中级以上专业技术职务，或具有三年以上研究生教育管理实践经验，或为相关领域的在读研究生，能切实承担和负责课题研究工作。</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申请人或负责人每次限申报一项课题，且不可作为同期其它</w:t>
      </w:r>
      <w:r>
        <w:rPr>
          <w:rFonts w:ascii="仿宋" w:eastAsia="仿宋" w:hAnsi="仿宋" w:cs="仿宋" w:hint="eastAsia"/>
          <w:sz w:val="28"/>
          <w:szCs w:val="28"/>
        </w:rPr>
        <w:lastRenderedPageBreak/>
        <w:t>项目的参加成员。承担研究生教育研究以往课题者，必须已按规定完成结题工作，未结题者不能申报新的课题。</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每人作为课题成员，最多参加2项（含未结题项目）。</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已在校内外其他同类课题中立项者不得申请。</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课题申报、评审程序</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申请人根据调研</w:t>
      </w:r>
      <w:proofErr w:type="gramStart"/>
      <w:r>
        <w:rPr>
          <w:rFonts w:ascii="仿宋" w:eastAsia="仿宋" w:hAnsi="仿宋" w:cs="仿宋" w:hint="eastAsia"/>
          <w:sz w:val="28"/>
          <w:szCs w:val="28"/>
        </w:rPr>
        <w:t>室发布</w:t>
      </w:r>
      <w:proofErr w:type="gramEnd"/>
      <w:r>
        <w:rPr>
          <w:rFonts w:ascii="仿宋" w:eastAsia="仿宋" w:hAnsi="仿宋" w:cs="仿宋" w:hint="eastAsia"/>
          <w:sz w:val="28"/>
          <w:szCs w:val="28"/>
        </w:rPr>
        <w:t>的课题指南，结合国内外研究生教育进展和学校研究生教育发展中实际问题确定选题。</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申请人按要求完成《浙江大学研究生教育研究课题申请书》（以下简称“申请书”）及有关材料，在规定时间内上交调研室。</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调研室组织专家进行评审，如有必要可以组织答辩，最后确定立项课题。</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批准立项的课题由学校研究生院和社科院发布课题立项通知，资助经费根据课题类别和实际需要确定，</w:t>
      </w:r>
      <w:r w:rsidR="008915F6" w:rsidRPr="003F3FE3">
        <w:rPr>
          <w:rFonts w:ascii="仿宋" w:eastAsia="仿宋" w:hAnsi="仿宋" w:cs="仿宋" w:hint="eastAsia"/>
          <w:sz w:val="28"/>
          <w:szCs w:val="28"/>
        </w:rPr>
        <w:t>重大</w:t>
      </w:r>
      <w:r>
        <w:rPr>
          <w:rFonts w:ascii="仿宋" w:eastAsia="仿宋" w:hAnsi="仿宋" w:cs="仿宋" w:hint="eastAsia"/>
          <w:sz w:val="28"/>
          <w:szCs w:val="28"/>
        </w:rPr>
        <w:t>委托课题每项5-8万元，重点课题每项2-4万元，</w:t>
      </w:r>
      <w:proofErr w:type="gramStart"/>
      <w:r>
        <w:rPr>
          <w:rFonts w:ascii="仿宋" w:eastAsia="仿宋" w:hAnsi="仿宋" w:cs="仿宋" w:hint="eastAsia"/>
          <w:sz w:val="28"/>
          <w:szCs w:val="28"/>
        </w:rPr>
        <w:t>一般课题</w:t>
      </w:r>
      <w:proofErr w:type="gramEnd"/>
      <w:r>
        <w:rPr>
          <w:rFonts w:ascii="仿宋" w:eastAsia="仿宋" w:hAnsi="仿宋" w:cs="仿宋" w:hint="eastAsia"/>
          <w:sz w:val="28"/>
          <w:szCs w:val="28"/>
        </w:rPr>
        <w:t>每项0.5-1万元。</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课题经费</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立项课题资助经费应专款专用，符合学校有关财务制度。</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立项课题资助经费实行一次核定、分期拨付、包干使用、超支不补。每个课题均预留30%的资助经费，在课题验收结题后拨付。</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调研</w:t>
      </w:r>
      <w:proofErr w:type="gramStart"/>
      <w:r>
        <w:rPr>
          <w:rFonts w:ascii="仿宋" w:eastAsia="仿宋" w:hAnsi="仿宋" w:cs="仿宋" w:hint="eastAsia"/>
          <w:sz w:val="28"/>
          <w:szCs w:val="28"/>
        </w:rPr>
        <w:t>室加强</w:t>
      </w:r>
      <w:proofErr w:type="gramEnd"/>
      <w:r>
        <w:rPr>
          <w:rFonts w:ascii="仿宋" w:eastAsia="仿宋" w:hAnsi="仿宋" w:cs="仿宋" w:hint="eastAsia"/>
          <w:sz w:val="28"/>
          <w:szCs w:val="28"/>
        </w:rPr>
        <w:t>对课题经费的科学管理，对无故不完成研究任务或自行中止研究工作的课题，将停止拨款，并追回已拨出经费的剩余部分；对课题负责人因工作调动、出国、生病等原因不能继续研究而被撤销或中止的课题，也将停止继续拨款，并追回已拨经费的</w:t>
      </w:r>
      <w:r>
        <w:rPr>
          <w:rFonts w:ascii="仿宋" w:eastAsia="仿宋" w:hAnsi="仿宋" w:cs="仿宋" w:hint="eastAsia"/>
          <w:sz w:val="28"/>
          <w:szCs w:val="28"/>
        </w:rPr>
        <w:lastRenderedPageBreak/>
        <w:t>剩余部分。</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课题管理</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立项课题应按照合同约定完成，一般不超过一年，因特殊原因不能如期完成的，经课题负责人申请可适当延长。调研室通过组织开题报告、中期检查和结题评审等管理活动，加强对立项课题研究的管理。</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课题重要活动和重要阶段成果应及时报调研室。对未按要求开展开题报告、中期检查和结题评审的课题，将视情况采取警告、责令整改、撤销课题并追回经费等处理办法，</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课题研究成果公开发表或使用时，应注明“浙江大学研究生教育研究××年度课题资助项目”字样。</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调研室有权对课题研究成果进行处置，或择优推荐发表，或结集出版，或报送学校领导和有关部门参阅。</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其他</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本办法自发布之日起执行，由研究生院负责解释。</w:t>
      </w:r>
    </w:p>
    <w:sectPr w:rsidR="00E342A0" w:rsidSect="00E342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C0D" w:rsidRDefault="00655C0D" w:rsidP="00E342A0">
      <w:r>
        <w:separator/>
      </w:r>
    </w:p>
  </w:endnote>
  <w:endnote w:type="continuationSeparator" w:id="1">
    <w:p w:rsidR="00655C0D" w:rsidRDefault="00655C0D" w:rsidP="00E34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020"/>
    </w:sdtPr>
    <w:sdtContent>
      <w:p w:rsidR="00E342A0" w:rsidRDefault="0072408B">
        <w:pPr>
          <w:pStyle w:val="a3"/>
          <w:jc w:val="center"/>
        </w:pPr>
        <w:r w:rsidRPr="0072408B">
          <w:fldChar w:fldCharType="begin"/>
        </w:r>
        <w:r w:rsidR="00BF7F1E">
          <w:instrText xml:space="preserve"> PAGE   \* MERGEFORMAT </w:instrText>
        </w:r>
        <w:r w:rsidRPr="0072408B">
          <w:fldChar w:fldCharType="separate"/>
        </w:r>
        <w:r w:rsidR="00A23DC9" w:rsidRPr="00A23DC9">
          <w:rPr>
            <w:noProof/>
            <w:lang w:val="zh-CN"/>
          </w:rPr>
          <w:t>1</w:t>
        </w:r>
        <w:r>
          <w:rPr>
            <w:lang w:val="zh-CN"/>
          </w:rPr>
          <w:fldChar w:fldCharType="end"/>
        </w:r>
      </w:p>
    </w:sdtContent>
  </w:sdt>
  <w:p w:rsidR="00E342A0" w:rsidRDefault="00E342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C0D" w:rsidRDefault="00655C0D" w:rsidP="00E342A0">
      <w:r>
        <w:separator/>
      </w:r>
    </w:p>
  </w:footnote>
  <w:footnote w:type="continuationSeparator" w:id="1">
    <w:p w:rsidR="00655C0D" w:rsidRDefault="00655C0D" w:rsidP="00E34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6FA3F"/>
    <w:multiLevelType w:val="singleLevel"/>
    <w:tmpl w:val="5806FA3F"/>
    <w:lvl w:ilvl="0">
      <w:start w:val="1"/>
      <w:numFmt w:val="chineseCounting"/>
      <w:suff w:val="space"/>
      <w:lvlText w:val="第%1章"/>
      <w:lvlJc w:val="left"/>
    </w:lvl>
  </w:abstractNum>
  <w:abstractNum w:abstractNumId="1">
    <w:nsid w:val="58071EF8"/>
    <w:multiLevelType w:val="singleLevel"/>
    <w:tmpl w:val="58071EF8"/>
    <w:lvl w:ilvl="0">
      <w:start w:val="1"/>
      <w:numFmt w:val="decimal"/>
      <w:suff w:val="nothing"/>
      <w:lvlText w:val="%1．"/>
      <w:lvlJc w:val="left"/>
      <w:pPr>
        <w:ind w:left="0" w:firstLine="403"/>
      </w:pPr>
      <w:rPr>
        <w:rFonts w:hint="default"/>
      </w:rPr>
    </w:lvl>
  </w:abstractNum>
  <w:abstractNum w:abstractNumId="2">
    <w:nsid w:val="58071F1B"/>
    <w:multiLevelType w:val="singleLevel"/>
    <w:tmpl w:val="58071F1B"/>
    <w:lvl w:ilvl="0">
      <w:start w:val="1"/>
      <w:numFmt w:val="decimal"/>
      <w:suff w:val="nothing"/>
      <w:lvlText w:val="%1．"/>
      <w:lvlJc w:val="left"/>
      <w:pPr>
        <w:ind w:left="0" w:firstLine="403"/>
      </w:pPr>
      <w:rPr>
        <w:rFonts w:hint="default"/>
      </w:rPr>
    </w:lvl>
  </w:abstractNum>
  <w:abstractNum w:abstractNumId="3">
    <w:nsid w:val="58072596"/>
    <w:multiLevelType w:val="singleLevel"/>
    <w:tmpl w:val="58072596"/>
    <w:lvl w:ilvl="0">
      <w:start w:val="1"/>
      <w:numFmt w:val="chineseCounting"/>
      <w:suff w:val="space"/>
      <w:lvlText w:val="第%1条"/>
      <w:lvlJc w:val="left"/>
      <w:pPr>
        <w:tabs>
          <w:tab w:val="left" w:pos="0"/>
        </w:tabs>
        <w:ind w:firstLine="40"/>
      </w:pPr>
      <w:rPr>
        <w:rFonts w:hint="eastAsia"/>
        <w:b/>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577F9C"/>
    <w:rsid w:val="00131063"/>
    <w:rsid w:val="002C23D3"/>
    <w:rsid w:val="003705DE"/>
    <w:rsid w:val="003F3FE3"/>
    <w:rsid w:val="005C67DA"/>
    <w:rsid w:val="006034B7"/>
    <w:rsid w:val="00655C0D"/>
    <w:rsid w:val="007137F6"/>
    <w:rsid w:val="0072408B"/>
    <w:rsid w:val="007F28F2"/>
    <w:rsid w:val="008915F6"/>
    <w:rsid w:val="008E056C"/>
    <w:rsid w:val="009A0403"/>
    <w:rsid w:val="00A023DF"/>
    <w:rsid w:val="00A23DC9"/>
    <w:rsid w:val="00A419E4"/>
    <w:rsid w:val="00AC6077"/>
    <w:rsid w:val="00AF2A54"/>
    <w:rsid w:val="00B30385"/>
    <w:rsid w:val="00BF7F1E"/>
    <w:rsid w:val="00E342A0"/>
    <w:rsid w:val="00E974F8"/>
    <w:rsid w:val="00EC47D0"/>
    <w:rsid w:val="00FA39E5"/>
    <w:rsid w:val="00FF4F03"/>
    <w:rsid w:val="09670379"/>
    <w:rsid w:val="13A330BB"/>
    <w:rsid w:val="216808A0"/>
    <w:rsid w:val="253C0EAC"/>
    <w:rsid w:val="29577F9C"/>
    <w:rsid w:val="5F15360C"/>
    <w:rsid w:val="69E44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2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342A0"/>
    <w:pPr>
      <w:tabs>
        <w:tab w:val="center" w:pos="4153"/>
        <w:tab w:val="right" w:pos="8306"/>
      </w:tabs>
      <w:snapToGrid w:val="0"/>
      <w:jc w:val="left"/>
    </w:pPr>
    <w:rPr>
      <w:sz w:val="18"/>
      <w:szCs w:val="18"/>
    </w:rPr>
  </w:style>
  <w:style w:type="paragraph" w:styleId="a4">
    <w:name w:val="header"/>
    <w:basedOn w:val="a"/>
    <w:link w:val="Char0"/>
    <w:qFormat/>
    <w:rsid w:val="00E342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342A0"/>
    <w:rPr>
      <w:kern w:val="2"/>
      <w:sz w:val="18"/>
      <w:szCs w:val="18"/>
    </w:rPr>
  </w:style>
  <w:style w:type="character" w:customStyle="1" w:styleId="Char">
    <w:name w:val="页脚 Char"/>
    <w:basedOn w:val="a0"/>
    <w:link w:val="a3"/>
    <w:uiPriority w:val="99"/>
    <w:rsid w:val="00E342A0"/>
    <w:rPr>
      <w:kern w:val="2"/>
      <w:sz w:val="18"/>
      <w:szCs w:val="18"/>
    </w:rPr>
  </w:style>
  <w:style w:type="paragraph" w:styleId="a5">
    <w:name w:val="Balloon Text"/>
    <w:basedOn w:val="a"/>
    <w:link w:val="Char1"/>
    <w:rsid w:val="008915F6"/>
    <w:rPr>
      <w:sz w:val="18"/>
      <w:szCs w:val="18"/>
    </w:rPr>
  </w:style>
  <w:style w:type="character" w:customStyle="1" w:styleId="Char1">
    <w:name w:val="批注框文本 Char"/>
    <w:basedOn w:val="a0"/>
    <w:link w:val="a5"/>
    <w:rsid w:val="008915F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-38</Characters>
  <Application>Microsoft Office Word</Application>
  <DocSecurity>0</DocSecurity>
  <Lines>1</Lines>
  <Paragraphs>2</Paragraphs>
  <ScaleCrop>false</ScaleCrop>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Life</cp:lastModifiedBy>
  <cp:revision>6</cp:revision>
  <dcterms:created xsi:type="dcterms:W3CDTF">2016-11-16T11:30:00Z</dcterms:created>
  <dcterms:modified xsi:type="dcterms:W3CDTF">2018-01-10T09:27:00Z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