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2A0" w:rsidRDefault="00BF7F1E">
      <w:pPr>
        <w:jc w:val="center"/>
        <w:rPr>
          <w:rFonts w:ascii="方正小标宋简体" w:eastAsia="方正小标宋简体" w:hAnsi="方正小标宋简体" w:cs="方正小标宋简体"/>
          <w:sz w:val="36"/>
          <w:szCs w:val="36"/>
        </w:rPr>
      </w:pPr>
      <w:bookmarkStart w:id="0" w:name="_GoBack"/>
      <w:bookmarkEnd w:id="0"/>
      <w:r>
        <w:rPr>
          <w:rFonts w:ascii="方正小标宋简体" w:eastAsia="方正小标宋简体" w:hAnsi="方正小标宋简体" w:cs="方正小标宋简体" w:hint="eastAsia"/>
          <w:sz w:val="36"/>
          <w:szCs w:val="36"/>
        </w:rPr>
        <w:t>浙江大学</w:t>
      </w:r>
    </w:p>
    <w:p w:rsidR="00E342A0" w:rsidRDefault="00BF7F1E">
      <w:pPr>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研究生教育研究课题管理办法（试行）</w:t>
      </w:r>
    </w:p>
    <w:p w:rsidR="00E342A0" w:rsidRDefault="00BF7F1E">
      <w:pPr>
        <w:jc w:val="center"/>
        <w:rPr>
          <w:rFonts w:ascii="方正小标宋简体" w:eastAsia="方正小标宋简体" w:hAnsi="方正小标宋简体" w:cs="方正小标宋简体"/>
          <w:sz w:val="36"/>
          <w:szCs w:val="36"/>
        </w:rPr>
      </w:pPr>
      <w:r>
        <w:rPr>
          <w:rFonts w:ascii="仿宋" w:eastAsia="仿宋" w:hAnsi="仿宋" w:cs="仿宋" w:hint="eastAsia"/>
          <w:sz w:val="28"/>
          <w:szCs w:val="28"/>
        </w:rPr>
        <w:t>（2016年11月17日）</w:t>
      </w:r>
    </w:p>
    <w:p w:rsidR="00E342A0" w:rsidRDefault="00BF7F1E">
      <w:pPr>
        <w:numPr>
          <w:ilvl w:val="0"/>
          <w:numId w:val="1"/>
        </w:numPr>
        <w:jc w:val="center"/>
        <w:rPr>
          <w:rFonts w:ascii="黑体" w:eastAsia="黑体" w:hAnsi="黑体" w:cs="黑体"/>
          <w:sz w:val="28"/>
          <w:szCs w:val="28"/>
        </w:rPr>
      </w:pPr>
      <w:r>
        <w:rPr>
          <w:rFonts w:ascii="黑体" w:eastAsia="黑体" w:hAnsi="黑体" w:cs="黑体" w:hint="eastAsia"/>
          <w:sz w:val="28"/>
          <w:szCs w:val="28"/>
        </w:rPr>
        <w:t>总则</w:t>
      </w:r>
    </w:p>
    <w:p w:rsidR="00E342A0" w:rsidRDefault="00BF7F1E">
      <w:pPr>
        <w:numPr>
          <w:ilvl w:val="0"/>
          <w:numId w:val="2"/>
        </w:numPr>
        <w:ind w:firstLineChars="200" w:firstLine="560"/>
        <w:rPr>
          <w:rFonts w:ascii="仿宋" w:eastAsia="仿宋" w:hAnsi="仿宋" w:cs="仿宋"/>
          <w:sz w:val="28"/>
          <w:szCs w:val="28"/>
        </w:rPr>
      </w:pPr>
      <w:r>
        <w:rPr>
          <w:rFonts w:ascii="仿宋" w:eastAsia="仿宋" w:hAnsi="仿宋" w:cs="仿宋" w:hint="eastAsia"/>
          <w:sz w:val="28"/>
          <w:szCs w:val="28"/>
        </w:rPr>
        <w:t>为促进浙江大学研究生教育研究的发展和繁荣，规范课题管理，推动教育研究水平提高和成果应用，特制定本办法。</w:t>
      </w:r>
    </w:p>
    <w:p w:rsidR="00E342A0" w:rsidRDefault="00BF7F1E">
      <w:pPr>
        <w:numPr>
          <w:ilvl w:val="0"/>
          <w:numId w:val="2"/>
        </w:numPr>
        <w:ind w:firstLineChars="200" w:firstLine="560"/>
        <w:rPr>
          <w:rFonts w:ascii="仿宋" w:eastAsia="仿宋" w:hAnsi="仿宋" w:cs="仿宋"/>
          <w:sz w:val="28"/>
          <w:szCs w:val="28"/>
        </w:rPr>
      </w:pPr>
      <w:r>
        <w:rPr>
          <w:rFonts w:ascii="仿宋" w:eastAsia="仿宋" w:hAnsi="仿宋" w:cs="仿宋" w:hint="eastAsia"/>
          <w:sz w:val="28"/>
          <w:szCs w:val="28"/>
        </w:rPr>
        <w:t>本办法适用于研究生院批准立项的教研课题。</w:t>
      </w:r>
    </w:p>
    <w:p w:rsidR="00E342A0" w:rsidRDefault="00BF7F1E">
      <w:pPr>
        <w:numPr>
          <w:ilvl w:val="0"/>
          <w:numId w:val="2"/>
        </w:numPr>
        <w:ind w:firstLineChars="200" w:firstLine="560"/>
        <w:rPr>
          <w:rFonts w:ascii="仿宋" w:eastAsia="仿宋" w:hAnsi="仿宋" w:cs="仿宋"/>
          <w:sz w:val="28"/>
          <w:szCs w:val="28"/>
        </w:rPr>
      </w:pPr>
      <w:r>
        <w:rPr>
          <w:rFonts w:ascii="仿宋" w:eastAsia="仿宋" w:hAnsi="仿宋" w:cs="仿宋" w:hint="eastAsia"/>
          <w:sz w:val="28"/>
          <w:szCs w:val="28"/>
        </w:rPr>
        <w:t>研究生院调研室（以下简称“调研室”）负责课题管理各项工作。其主要职责有：征集、确定并发布课题指南，组织课题申报、评审、检查和验收。</w:t>
      </w:r>
    </w:p>
    <w:p w:rsidR="00E342A0" w:rsidRDefault="00BF7F1E">
      <w:pPr>
        <w:numPr>
          <w:ilvl w:val="0"/>
          <w:numId w:val="1"/>
        </w:numPr>
        <w:jc w:val="center"/>
        <w:rPr>
          <w:rFonts w:ascii="黑体" w:eastAsia="黑体" w:hAnsi="黑体" w:cs="黑体"/>
          <w:sz w:val="28"/>
          <w:szCs w:val="28"/>
        </w:rPr>
      </w:pPr>
      <w:r>
        <w:rPr>
          <w:rFonts w:ascii="黑体" w:eastAsia="黑体" w:hAnsi="黑体" w:cs="黑体" w:hint="eastAsia"/>
          <w:sz w:val="28"/>
          <w:szCs w:val="28"/>
        </w:rPr>
        <w:t>课题申报与评审</w:t>
      </w:r>
    </w:p>
    <w:p w:rsidR="00E342A0" w:rsidRDefault="00BF7F1E">
      <w:pPr>
        <w:numPr>
          <w:ilvl w:val="0"/>
          <w:numId w:val="2"/>
        </w:numPr>
        <w:ind w:firstLineChars="200" w:firstLine="560"/>
        <w:rPr>
          <w:rFonts w:ascii="仿宋" w:eastAsia="仿宋" w:hAnsi="仿宋" w:cs="仿宋"/>
          <w:sz w:val="28"/>
          <w:szCs w:val="28"/>
        </w:rPr>
      </w:pPr>
      <w:r>
        <w:rPr>
          <w:rFonts w:ascii="仿宋" w:eastAsia="仿宋" w:hAnsi="仿宋" w:cs="仿宋" w:hint="eastAsia"/>
          <w:sz w:val="28"/>
          <w:szCs w:val="28"/>
        </w:rPr>
        <w:t>研究生教育研究课题必须符合国家法律、法规和学校有关政策，为研究生教育改革和发展实践服务。</w:t>
      </w:r>
    </w:p>
    <w:p w:rsidR="00E342A0" w:rsidRDefault="00BF7F1E">
      <w:pPr>
        <w:numPr>
          <w:ilvl w:val="0"/>
          <w:numId w:val="2"/>
        </w:numPr>
        <w:ind w:firstLineChars="200" w:firstLine="560"/>
        <w:rPr>
          <w:rFonts w:ascii="仿宋" w:eastAsia="仿宋" w:hAnsi="仿宋" w:cs="仿宋"/>
          <w:sz w:val="28"/>
          <w:szCs w:val="28"/>
        </w:rPr>
      </w:pPr>
      <w:r>
        <w:rPr>
          <w:rFonts w:ascii="仿宋" w:eastAsia="仿宋" w:hAnsi="仿宋" w:cs="仿宋" w:hint="eastAsia"/>
          <w:sz w:val="28"/>
          <w:szCs w:val="28"/>
        </w:rPr>
        <w:t>研究生教育研究课题的选题主要以调研室发布课题指南的方式进行。课题分</w:t>
      </w:r>
      <w:r w:rsidRPr="003F3FE3">
        <w:rPr>
          <w:rFonts w:ascii="仿宋" w:eastAsia="仿宋" w:hAnsi="仿宋" w:cs="仿宋" w:hint="eastAsia"/>
          <w:sz w:val="28"/>
          <w:szCs w:val="28"/>
        </w:rPr>
        <w:t>为</w:t>
      </w:r>
      <w:r w:rsidR="008915F6" w:rsidRPr="003F3FE3">
        <w:rPr>
          <w:rFonts w:ascii="仿宋" w:eastAsia="仿宋" w:hAnsi="仿宋" w:cs="仿宋" w:hint="eastAsia"/>
          <w:sz w:val="28"/>
          <w:szCs w:val="28"/>
        </w:rPr>
        <w:t>重大委托课题、</w:t>
      </w:r>
      <w:r w:rsidRPr="003F3FE3">
        <w:rPr>
          <w:rFonts w:ascii="仿宋" w:eastAsia="仿宋" w:hAnsi="仿宋" w:cs="仿宋" w:hint="eastAsia"/>
          <w:sz w:val="28"/>
          <w:szCs w:val="28"/>
        </w:rPr>
        <w:t>重点课题和一般课题</w:t>
      </w:r>
      <w:r w:rsidR="008915F6" w:rsidRPr="003F3FE3">
        <w:rPr>
          <w:rFonts w:ascii="仿宋" w:eastAsia="仿宋" w:hAnsi="仿宋" w:cs="仿宋" w:hint="eastAsia"/>
          <w:sz w:val="28"/>
          <w:szCs w:val="28"/>
        </w:rPr>
        <w:t>三类</w:t>
      </w:r>
      <w:r>
        <w:rPr>
          <w:rFonts w:ascii="仿宋" w:eastAsia="仿宋" w:hAnsi="仿宋" w:cs="仿宋" w:hint="eastAsia"/>
          <w:sz w:val="28"/>
          <w:szCs w:val="28"/>
        </w:rPr>
        <w:t>。</w:t>
      </w:r>
    </w:p>
    <w:p w:rsidR="00E342A0" w:rsidRDefault="00BF7F1E">
      <w:pPr>
        <w:numPr>
          <w:ilvl w:val="0"/>
          <w:numId w:val="2"/>
        </w:numPr>
        <w:ind w:firstLineChars="200" w:firstLine="560"/>
        <w:rPr>
          <w:rFonts w:ascii="仿宋" w:eastAsia="仿宋" w:hAnsi="仿宋" w:cs="仿宋"/>
          <w:sz w:val="28"/>
          <w:szCs w:val="28"/>
        </w:rPr>
      </w:pPr>
      <w:r>
        <w:rPr>
          <w:rFonts w:ascii="仿宋" w:eastAsia="仿宋" w:hAnsi="仿宋" w:cs="仿宋" w:hint="eastAsia"/>
          <w:sz w:val="28"/>
          <w:szCs w:val="28"/>
        </w:rPr>
        <w:t>调研室根据研究生院等学校行政部门急需研究的重大问题，不定期征集并确定若干委托研究课题，单独立项。</w:t>
      </w:r>
    </w:p>
    <w:p w:rsidR="00E342A0" w:rsidRDefault="00BF7F1E">
      <w:pPr>
        <w:numPr>
          <w:ilvl w:val="0"/>
          <w:numId w:val="2"/>
        </w:numPr>
        <w:ind w:firstLineChars="200" w:firstLine="560"/>
        <w:rPr>
          <w:rFonts w:ascii="仿宋" w:eastAsia="仿宋" w:hAnsi="仿宋" w:cs="仿宋"/>
          <w:sz w:val="28"/>
          <w:szCs w:val="28"/>
        </w:rPr>
      </w:pPr>
      <w:r>
        <w:rPr>
          <w:rFonts w:ascii="仿宋" w:eastAsia="仿宋" w:hAnsi="仿宋" w:cs="仿宋" w:hint="eastAsia"/>
          <w:sz w:val="28"/>
          <w:szCs w:val="28"/>
        </w:rPr>
        <w:t>课题申报条件</w:t>
      </w:r>
    </w:p>
    <w:p w:rsidR="00E342A0" w:rsidRDefault="00BF7F1E">
      <w:pPr>
        <w:numPr>
          <w:ilvl w:val="0"/>
          <w:numId w:val="3"/>
        </w:numPr>
        <w:ind w:firstLineChars="200" w:firstLine="560"/>
        <w:rPr>
          <w:rFonts w:ascii="仿宋" w:eastAsia="仿宋" w:hAnsi="仿宋" w:cs="仿宋"/>
          <w:sz w:val="28"/>
          <w:szCs w:val="28"/>
        </w:rPr>
      </w:pPr>
      <w:r>
        <w:rPr>
          <w:rFonts w:ascii="仿宋" w:eastAsia="仿宋" w:hAnsi="仿宋" w:cs="仿宋" w:hint="eastAsia"/>
          <w:sz w:val="28"/>
          <w:szCs w:val="28"/>
        </w:rPr>
        <w:t>课题申请人或负责人一般应为本校师生，具有中级以上专业技术职务，或具有三年以上研究生教育管理实践经验，或为相关领域的在读研究生，能切实承担和负责课题研究工作。</w:t>
      </w:r>
    </w:p>
    <w:p w:rsidR="00E342A0" w:rsidRDefault="00BF7F1E">
      <w:pPr>
        <w:numPr>
          <w:ilvl w:val="0"/>
          <w:numId w:val="3"/>
        </w:numPr>
        <w:ind w:firstLineChars="200" w:firstLine="560"/>
        <w:rPr>
          <w:rFonts w:ascii="仿宋" w:eastAsia="仿宋" w:hAnsi="仿宋" w:cs="仿宋"/>
          <w:sz w:val="28"/>
          <w:szCs w:val="28"/>
        </w:rPr>
      </w:pPr>
      <w:r>
        <w:rPr>
          <w:rFonts w:ascii="仿宋" w:eastAsia="仿宋" w:hAnsi="仿宋" w:cs="仿宋" w:hint="eastAsia"/>
          <w:sz w:val="28"/>
          <w:szCs w:val="28"/>
        </w:rPr>
        <w:t>申请人或负责人每次限申报一项课题，且不可作为同期其它</w:t>
      </w:r>
      <w:r>
        <w:rPr>
          <w:rFonts w:ascii="仿宋" w:eastAsia="仿宋" w:hAnsi="仿宋" w:cs="仿宋" w:hint="eastAsia"/>
          <w:sz w:val="28"/>
          <w:szCs w:val="28"/>
        </w:rPr>
        <w:lastRenderedPageBreak/>
        <w:t>项目的参加成员。承担研究生教育研究以往课题者，必须已按规定完成结题工作，未结题者不能申报新的课题。</w:t>
      </w:r>
    </w:p>
    <w:p w:rsidR="00E342A0" w:rsidRDefault="00BF7F1E">
      <w:pPr>
        <w:numPr>
          <w:ilvl w:val="0"/>
          <w:numId w:val="3"/>
        </w:numPr>
        <w:ind w:firstLineChars="200" w:firstLine="560"/>
        <w:rPr>
          <w:rFonts w:ascii="仿宋" w:eastAsia="仿宋" w:hAnsi="仿宋" w:cs="仿宋"/>
          <w:sz w:val="28"/>
          <w:szCs w:val="28"/>
        </w:rPr>
      </w:pPr>
      <w:r>
        <w:rPr>
          <w:rFonts w:ascii="仿宋" w:eastAsia="仿宋" w:hAnsi="仿宋" w:cs="仿宋" w:hint="eastAsia"/>
          <w:sz w:val="28"/>
          <w:szCs w:val="28"/>
        </w:rPr>
        <w:t>每人作为课题成员，最多参加2项（含未结题项目）。</w:t>
      </w:r>
    </w:p>
    <w:p w:rsidR="00E342A0" w:rsidRDefault="00BF7F1E">
      <w:pPr>
        <w:numPr>
          <w:ilvl w:val="0"/>
          <w:numId w:val="3"/>
        </w:numPr>
        <w:ind w:firstLineChars="200" w:firstLine="560"/>
        <w:rPr>
          <w:rFonts w:ascii="仿宋" w:eastAsia="仿宋" w:hAnsi="仿宋" w:cs="仿宋"/>
          <w:sz w:val="28"/>
          <w:szCs w:val="28"/>
        </w:rPr>
      </w:pPr>
      <w:r>
        <w:rPr>
          <w:rFonts w:ascii="仿宋" w:eastAsia="仿宋" w:hAnsi="仿宋" w:cs="仿宋" w:hint="eastAsia"/>
          <w:sz w:val="28"/>
          <w:szCs w:val="28"/>
        </w:rPr>
        <w:t>已在校内外其他同类课题中立项者不得申请。</w:t>
      </w:r>
    </w:p>
    <w:p w:rsidR="00E342A0" w:rsidRDefault="00BF7F1E">
      <w:pPr>
        <w:numPr>
          <w:ilvl w:val="0"/>
          <w:numId w:val="2"/>
        </w:numPr>
        <w:ind w:firstLineChars="200" w:firstLine="560"/>
        <w:rPr>
          <w:rFonts w:ascii="仿宋" w:eastAsia="仿宋" w:hAnsi="仿宋" w:cs="仿宋"/>
          <w:sz w:val="28"/>
          <w:szCs w:val="28"/>
        </w:rPr>
      </w:pPr>
      <w:r>
        <w:rPr>
          <w:rFonts w:ascii="仿宋" w:eastAsia="仿宋" w:hAnsi="仿宋" w:cs="仿宋" w:hint="eastAsia"/>
          <w:sz w:val="28"/>
          <w:szCs w:val="28"/>
        </w:rPr>
        <w:t>课题申报、评审程序</w:t>
      </w:r>
    </w:p>
    <w:p w:rsidR="00E342A0" w:rsidRDefault="00BF7F1E">
      <w:pPr>
        <w:numPr>
          <w:ilvl w:val="0"/>
          <w:numId w:val="4"/>
        </w:numPr>
        <w:ind w:firstLineChars="200" w:firstLine="560"/>
        <w:rPr>
          <w:rFonts w:ascii="仿宋" w:eastAsia="仿宋" w:hAnsi="仿宋" w:cs="仿宋"/>
          <w:sz w:val="28"/>
          <w:szCs w:val="28"/>
        </w:rPr>
      </w:pPr>
      <w:r>
        <w:rPr>
          <w:rFonts w:ascii="仿宋" w:eastAsia="仿宋" w:hAnsi="仿宋" w:cs="仿宋" w:hint="eastAsia"/>
          <w:sz w:val="28"/>
          <w:szCs w:val="28"/>
        </w:rPr>
        <w:t>申请人根据调研室发布的课题指南，结合国内外研究生教育进展和学校研究生教育发展中实际问题确定选题。</w:t>
      </w:r>
    </w:p>
    <w:p w:rsidR="00E342A0" w:rsidRDefault="00BF7F1E">
      <w:pPr>
        <w:numPr>
          <w:ilvl w:val="0"/>
          <w:numId w:val="4"/>
        </w:numPr>
        <w:ind w:firstLineChars="200" w:firstLine="560"/>
        <w:rPr>
          <w:rFonts w:ascii="仿宋" w:eastAsia="仿宋" w:hAnsi="仿宋" w:cs="仿宋"/>
          <w:sz w:val="28"/>
          <w:szCs w:val="28"/>
        </w:rPr>
      </w:pPr>
      <w:r>
        <w:rPr>
          <w:rFonts w:ascii="仿宋" w:eastAsia="仿宋" w:hAnsi="仿宋" w:cs="仿宋" w:hint="eastAsia"/>
          <w:sz w:val="28"/>
          <w:szCs w:val="28"/>
        </w:rPr>
        <w:t>申请人按要求完成《浙江大学研究生教育研究课题申请书》（以下简称“申请书”）及有关材料，在规定时间内上交调研室。</w:t>
      </w:r>
    </w:p>
    <w:p w:rsidR="00E342A0" w:rsidRDefault="00BF7F1E">
      <w:pPr>
        <w:numPr>
          <w:ilvl w:val="0"/>
          <w:numId w:val="4"/>
        </w:numPr>
        <w:ind w:firstLineChars="200" w:firstLine="560"/>
        <w:rPr>
          <w:rFonts w:ascii="仿宋" w:eastAsia="仿宋" w:hAnsi="仿宋" w:cs="仿宋"/>
          <w:sz w:val="28"/>
          <w:szCs w:val="28"/>
        </w:rPr>
      </w:pPr>
      <w:r>
        <w:rPr>
          <w:rFonts w:ascii="仿宋" w:eastAsia="仿宋" w:hAnsi="仿宋" w:cs="仿宋" w:hint="eastAsia"/>
          <w:sz w:val="28"/>
          <w:szCs w:val="28"/>
        </w:rPr>
        <w:t>调研室组织专家进行评审，如有必要可以组织答辩，最后确定立项课题。</w:t>
      </w:r>
    </w:p>
    <w:p w:rsidR="00E342A0" w:rsidRDefault="00BF7F1E">
      <w:pPr>
        <w:numPr>
          <w:ilvl w:val="0"/>
          <w:numId w:val="4"/>
        </w:numPr>
        <w:ind w:firstLineChars="200" w:firstLine="560"/>
        <w:rPr>
          <w:rFonts w:ascii="仿宋" w:eastAsia="仿宋" w:hAnsi="仿宋" w:cs="仿宋"/>
          <w:sz w:val="28"/>
          <w:szCs w:val="28"/>
        </w:rPr>
      </w:pPr>
      <w:r>
        <w:rPr>
          <w:rFonts w:ascii="仿宋" w:eastAsia="仿宋" w:hAnsi="仿宋" w:cs="仿宋" w:hint="eastAsia"/>
          <w:sz w:val="28"/>
          <w:szCs w:val="28"/>
        </w:rPr>
        <w:t>批准立项的课题由学校研究生院和社科院发布课题立项通知，资助经费根据课题类别和实际需要确定，</w:t>
      </w:r>
      <w:r w:rsidR="008915F6" w:rsidRPr="003F3FE3">
        <w:rPr>
          <w:rFonts w:ascii="仿宋" w:eastAsia="仿宋" w:hAnsi="仿宋" w:cs="仿宋" w:hint="eastAsia"/>
          <w:sz w:val="28"/>
          <w:szCs w:val="28"/>
        </w:rPr>
        <w:t>重大</w:t>
      </w:r>
      <w:r>
        <w:rPr>
          <w:rFonts w:ascii="仿宋" w:eastAsia="仿宋" w:hAnsi="仿宋" w:cs="仿宋" w:hint="eastAsia"/>
          <w:sz w:val="28"/>
          <w:szCs w:val="28"/>
        </w:rPr>
        <w:t>委托课题每项5-8万元，重点课题每项2-4万元，一般课题每项0.5-1万元。</w:t>
      </w:r>
    </w:p>
    <w:p w:rsidR="00E342A0" w:rsidRDefault="00BF7F1E">
      <w:pPr>
        <w:numPr>
          <w:ilvl w:val="0"/>
          <w:numId w:val="1"/>
        </w:numPr>
        <w:jc w:val="center"/>
        <w:rPr>
          <w:rFonts w:ascii="黑体" w:eastAsia="黑体" w:hAnsi="黑体" w:cs="黑体"/>
          <w:sz w:val="28"/>
          <w:szCs w:val="28"/>
        </w:rPr>
      </w:pPr>
      <w:r>
        <w:rPr>
          <w:rFonts w:ascii="黑体" w:eastAsia="黑体" w:hAnsi="黑体" w:cs="黑体" w:hint="eastAsia"/>
          <w:sz w:val="28"/>
          <w:szCs w:val="28"/>
        </w:rPr>
        <w:t>课题经费</w:t>
      </w:r>
    </w:p>
    <w:p w:rsidR="00E342A0" w:rsidRDefault="00BF7F1E">
      <w:pPr>
        <w:numPr>
          <w:ilvl w:val="0"/>
          <w:numId w:val="2"/>
        </w:numPr>
        <w:ind w:firstLineChars="200" w:firstLine="560"/>
        <w:rPr>
          <w:rFonts w:ascii="仿宋" w:eastAsia="仿宋" w:hAnsi="仿宋" w:cs="仿宋"/>
          <w:sz w:val="28"/>
          <w:szCs w:val="28"/>
        </w:rPr>
      </w:pPr>
      <w:r>
        <w:rPr>
          <w:rFonts w:ascii="仿宋" w:eastAsia="仿宋" w:hAnsi="仿宋" w:cs="仿宋" w:hint="eastAsia"/>
          <w:sz w:val="28"/>
          <w:szCs w:val="28"/>
        </w:rPr>
        <w:t>立项课题资助经费应专款专用，符合学校有关财务制度。</w:t>
      </w:r>
    </w:p>
    <w:p w:rsidR="00E342A0" w:rsidRDefault="00BF7F1E">
      <w:pPr>
        <w:numPr>
          <w:ilvl w:val="0"/>
          <w:numId w:val="2"/>
        </w:numPr>
        <w:ind w:firstLineChars="200" w:firstLine="560"/>
        <w:rPr>
          <w:rFonts w:ascii="仿宋" w:eastAsia="仿宋" w:hAnsi="仿宋" w:cs="仿宋"/>
          <w:sz w:val="28"/>
          <w:szCs w:val="28"/>
        </w:rPr>
      </w:pPr>
      <w:r>
        <w:rPr>
          <w:rFonts w:ascii="仿宋" w:eastAsia="仿宋" w:hAnsi="仿宋" w:cs="仿宋" w:hint="eastAsia"/>
          <w:sz w:val="28"/>
          <w:szCs w:val="28"/>
        </w:rPr>
        <w:t>立项课题资助经费实行一次核定、分期拨付、包干使用、超支不补。每个课题均预留30%的资助经费，在课题验收结题后拨付。</w:t>
      </w:r>
    </w:p>
    <w:p w:rsidR="00E342A0" w:rsidRDefault="00BF7F1E">
      <w:pPr>
        <w:numPr>
          <w:ilvl w:val="0"/>
          <w:numId w:val="2"/>
        </w:numPr>
        <w:ind w:firstLineChars="200" w:firstLine="560"/>
        <w:rPr>
          <w:rFonts w:ascii="仿宋" w:eastAsia="仿宋" w:hAnsi="仿宋" w:cs="仿宋"/>
          <w:sz w:val="28"/>
          <w:szCs w:val="28"/>
        </w:rPr>
      </w:pPr>
      <w:r>
        <w:rPr>
          <w:rFonts w:ascii="仿宋" w:eastAsia="仿宋" w:hAnsi="仿宋" w:cs="仿宋" w:hint="eastAsia"/>
          <w:sz w:val="28"/>
          <w:szCs w:val="28"/>
        </w:rPr>
        <w:t>调研室加强对课题经费的科学管理，对无故不完成研究任务或自行中止研究工作的课题，将停止拨款，并追回已拨出经费的剩余部分；对课题负责人因工作调动、出国、生病等原因不能继续研究而被撤销或中止的课题，也将停止继续拨款，并追回已拨经费的</w:t>
      </w:r>
      <w:r>
        <w:rPr>
          <w:rFonts w:ascii="仿宋" w:eastAsia="仿宋" w:hAnsi="仿宋" w:cs="仿宋" w:hint="eastAsia"/>
          <w:sz w:val="28"/>
          <w:szCs w:val="28"/>
        </w:rPr>
        <w:lastRenderedPageBreak/>
        <w:t>剩余部分。</w:t>
      </w:r>
    </w:p>
    <w:p w:rsidR="00E342A0" w:rsidRDefault="00BF7F1E">
      <w:pPr>
        <w:numPr>
          <w:ilvl w:val="0"/>
          <w:numId w:val="1"/>
        </w:numPr>
        <w:jc w:val="center"/>
        <w:rPr>
          <w:rFonts w:ascii="黑体" w:eastAsia="黑体" w:hAnsi="黑体" w:cs="黑体"/>
          <w:sz w:val="28"/>
          <w:szCs w:val="28"/>
        </w:rPr>
      </w:pPr>
      <w:r>
        <w:rPr>
          <w:rFonts w:ascii="黑体" w:eastAsia="黑体" w:hAnsi="黑体" w:cs="黑体" w:hint="eastAsia"/>
          <w:sz w:val="28"/>
          <w:szCs w:val="28"/>
        </w:rPr>
        <w:t>课题管理</w:t>
      </w:r>
    </w:p>
    <w:p w:rsidR="00E342A0" w:rsidRDefault="00BF7F1E">
      <w:pPr>
        <w:numPr>
          <w:ilvl w:val="0"/>
          <w:numId w:val="2"/>
        </w:numPr>
        <w:ind w:firstLineChars="200" w:firstLine="560"/>
        <w:rPr>
          <w:rFonts w:ascii="仿宋" w:eastAsia="仿宋" w:hAnsi="仿宋" w:cs="仿宋"/>
          <w:sz w:val="28"/>
          <w:szCs w:val="28"/>
        </w:rPr>
      </w:pPr>
      <w:r>
        <w:rPr>
          <w:rFonts w:ascii="仿宋" w:eastAsia="仿宋" w:hAnsi="仿宋" w:cs="仿宋" w:hint="eastAsia"/>
          <w:sz w:val="28"/>
          <w:szCs w:val="28"/>
        </w:rPr>
        <w:t>立项课题应按照合同约定完成，一般不超过一年，因特殊原因不能如期完成的，经课题负责人申请可适当延长。调研室通过组织开题报告、中期检查和结题评审等管理活动，加强对立项课题研究的管理。</w:t>
      </w:r>
    </w:p>
    <w:p w:rsidR="00E342A0" w:rsidRDefault="00BF7F1E">
      <w:pPr>
        <w:numPr>
          <w:ilvl w:val="0"/>
          <w:numId w:val="2"/>
        </w:numPr>
        <w:ind w:firstLineChars="200" w:firstLine="560"/>
        <w:rPr>
          <w:rFonts w:ascii="仿宋" w:eastAsia="仿宋" w:hAnsi="仿宋" w:cs="仿宋"/>
          <w:sz w:val="28"/>
          <w:szCs w:val="28"/>
        </w:rPr>
      </w:pPr>
      <w:r>
        <w:rPr>
          <w:rFonts w:ascii="仿宋" w:eastAsia="仿宋" w:hAnsi="仿宋" w:cs="仿宋" w:hint="eastAsia"/>
          <w:sz w:val="28"/>
          <w:szCs w:val="28"/>
        </w:rPr>
        <w:t>课题重要活动和重要阶段成果应及时报调研室。对未按要求开展开题报告、中期检查和结题评审的课题，将视情况采取警告、责令整改、撤销课题并追回经费等处理办法，</w:t>
      </w:r>
    </w:p>
    <w:p w:rsidR="00E342A0" w:rsidRDefault="00BF7F1E">
      <w:pPr>
        <w:numPr>
          <w:ilvl w:val="0"/>
          <w:numId w:val="2"/>
        </w:numPr>
        <w:ind w:firstLineChars="200" w:firstLine="560"/>
        <w:rPr>
          <w:rFonts w:ascii="仿宋" w:eastAsia="仿宋" w:hAnsi="仿宋" w:cs="仿宋"/>
          <w:sz w:val="28"/>
          <w:szCs w:val="28"/>
        </w:rPr>
      </w:pPr>
      <w:r>
        <w:rPr>
          <w:rFonts w:ascii="仿宋" w:eastAsia="仿宋" w:hAnsi="仿宋" w:cs="仿宋" w:hint="eastAsia"/>
          <w:sz w:val="28"/>
          <w:szCs w:val="28"/>
        </w:rPr>
        <w:t>课题研究成果公开发表或使用时，应注明“浙江大学研究生教育研究××年度课题资助项目”字样。</w:t>
      </w:r>
    </w:p>
    <w:p w:rsidR="00E342A0" w:rsidRDefault="00BF7F1E">
      <w:pPr>
        <w:numPr>
          <w:ilvl w:val="0"/>
          <w:numId w:val="2"/>
        </w:numPr>
        <w:ind w:firstLineChars="200" w:firstLine="560"/>
        <w:rPr>
          <w:rFonts w:ascii="仿宋" w:eastAsia="仿宋" w:hAnsi="仿宋" w:cs="仿宋"/>
          <w:sz w:val="28"/>
          <w:szCs w:val="28"/>
        </w:rPr>
      </w:pPr>
      <w:r>
        <w:rPr>
          <w:rFonts w:ascii="仿宋" w:eastAsia="仿宋" w:hAnsi="仿宋" w:cs="仿宋" w:hint="eastAsia"/>
          <w:sz w:val="28"/>
          <w:szCs w:val="28"/>
        </w:rPr>
        <w:t>调研室有权对课题研究成果进行处置，或择优推荐发表，或结集出版，或报送学校领导和有关部门参阅。</w:t>
      </w:r>
    </w:p>
    <w:p w:rsidR="00E342A0" w:rsidRDefault="00BF7F1E">
      <w:pPr>
        <w:numPr>
          <w:ilvl w:val="0"/>
          <w:numId w:val="1"/>
        </w:numPr>
        <w:jc w:val="center"/>
        <w:rPr>
          <w:rFonts w:ascii="黑体" w:eastAsia="黑体" w:hAnsi="黑体" w:cs="黑体"/>
          <w:sz w:val="28"/>
          <w:szCs w:val="28"/>
        </w:rPr>
      </w:pPr>
      <w:r>
        <w:rPr>
          <w:rFonts w:ascii="黑体" w:eastAsia="黑体" w:hAnsi="黑体" w:cs="黑体" w:hint="eastAsia"/>
          <w:sz w:val="28"/>
          <w:szCs w:val="28"/>
        </w:rPr>
        <w:t>其他</w:t>
      </w:r>
    </w:p>
    <w:p w:rsidR="00E342A0" w:rsidRDefault="00BF7F1E">
      <w:pPr>
        <w:numPr>
          <w:ilvl w:val="0"/>
          <w:numId w:val="2"/>
        </w:numPr>
        <w:ind w:firstLineChars="200" w:firstLine="560"/>
        <w:rPr>
          <w:rFonts w:ascii="仿宋" w:eastAsia="仿宋" w:hAnsi="仿宋" w:cs="仿宋"/>
          <w:sz w:val="28"/>
          <w:szCs w:val="28"/>
        </w:rPr>
      </w:pPr>
      <w:r>
        <w:rPr>
          <w:rFonts w:ascii="仿宋" w:eastAsia="仿宋" w:hAnsi="仿宋" w:cs="仿宋" w:hint="eastAsia"/>
          <w:sz w:val="28"/>
          <w:szCs w:val="28"/>
        </w:rPr>
        <w:t>本办法自发布之日起执行，由研究生院负责解释。</w:t>
      </w:r>
    </w:p>
    <w:sectPr w:rsidR="00E342A0" w:rsidSect="00E342A0">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5C0D" w:rsidRDefault="00655C0D" w:rsidP="00E342A0">
      <w:r>
        <w:separator/>
      </w:r>
    </w:p>
  </w:endnote>
  <w:endnote w:type="continuationSeparator" w:id="1">
    <w:p w:rsidR="00655C0D" w:rsidRDefault="00655C0D" w:rsidP="00E342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15020"/>
    </w:sdtPr>
    <w:sdtContent>
      <w:p w:rsidR="00E342A0" w:rsidRDefault="003705DE">
        <w:pPr>
          <w:pStyle w:val="a3"/>
          <w:jc w:val="center"/>
        </w:pPr>
        <w:r w:rsidRPr="003705DE">
          <w:fldChar w:fldCharType="begin"/>
        </w:r>
        <w:r w:rsidR="00BF7F1E">
          <w:instrText xml:space="preserve"> PAGE   \* MERGEFORMAT </w:instrText>
        </w:r>
        <w:r w:rsidRPr="003705DE">
          <w:fldChar w:fldCharType="separate"/>
        </w:r>
        <w:r w:rsidR="003F3FE3" w:rsidRPr="003F3FE3">
          <w:rPr>
            <w:noProof/>
            <w:lang w:val="zh-CN"/>
          </w:rPr>
          <w:t>1</w:t>
        </w:r>
        <w:r>
          <w:rPr>
            <w:lang w:val="zh-CN"/>
          </w:rPr>
          <w:fldChar w:fldCharType="end"/>
        </w:r>
      </w:p>
    </w:sdtContent>
  </w:sdt>
  <w:p w:rsidR="00E342A0" w:rsidRDefault="00E342A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5C0D" w:rsidRDefault="00655C0D" w:rsidP="00E342A0">
      <w:r>
        <w:separator/>
      </w:r>
    </w:p>
  </w:footnote>
  <w:footnote w:type="continuationSeparator" w:id="1">
    <w:p w:rsidR="00655C0D" w:rsidRDefault="00655C0D" w:rsidP="00E342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06FA3F"/>
    <w:multiLevelType w:val="singleLevel"/>
    <w:tmpl w:val="5806FA3F"/>
    <w:lvl w:ilvl="0">
      <w:start w:val="1"/>
      <w:numFmt w:val="chineseCounting"/>
      <w:suff w:val="space"/>
      <w:lvlText w:val="第%1章"/>
      <w:lvlJc w:val="left"/>
    </w:lvl>
  </w:abstractNum>
  <w:abstractNum w:abstractNumId="1">
    <w:nsid w:val="58071EF8"/>
    <w:multiLevelType w:val="singleLevel"/>
    <w:tmpl w:val="58071EF8"/>
    <w:lvl w:ilvl="0">
      <w:start w:val="1"/>
      <w:numFmt w:val="decimal"/>
      <w:suff w:val="nothing"/>
      <w:lvlText w:val="%1．"/>
      <w:lvlJc w:val="left"/>
      <w:pPr>
        <w:ind w:left="0" w:firstLine="403"/>
      </w:pPr>
      <w:rPr>
        <w:rFonts w:hint="default"/>
      </w:rPr>
    </w:lvl>
  </w:abstractNum>
  <w:abstractNum w:abstractNumId="2">
    <w:nsid w:val="58071F1B"/>
    <w:multiLevelType w:val="singleLevel"/>
    <w:tmpl w:val="58071F1B"/>
    <w:lvl w:ilvl="0">
      <w:start w:val="1"/>
      <w:numFmt w:val="decimal"/>
      <w:suff w:val="nothing"/>
      <w:lvlText w:val="%1．"/>
      <w:lvlJc w:val="left"/>
      <w:pPr>
        <w:ind w:left="0" w:firstLine="403"/>
      </w:pPr>
      <w:rPr>
        <w:rFonts w:hint="default"/>
      </w:rPr>
    </w:lvl>
  </w:abstractNum>
  <w:abstractNum w:abstractNumId="3">
    <w:nsid w:val="58072596"/>
    <w:multiLevelType w:val="singleLevel"/>
    <w:tmpl w:val="58072596"/>
    <w:lvl w:ilvl="0">
      <w:start w:val="1"/>
      <w:numFmt w:val="chineseCounting"/>
      <w:suff w:val="space"/>
      <w:lvlText w:val="第%1条"/>
      <w:lvlJc w:val="left"/>
      <w:pPr>
        <w:tabs>
          <w:tab w:val="left" w:pos="0"/>
        </w:tabs>
        <w:ind w:firstLine="40"/>
      </w:pPr>
      <w:rPr>
        <w:rFonts w:hint="eastAsia"/>
        <w:b/>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1"/>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9577F9C"/>
    <w:rsid w:val="00131063"/>
    <w:rsid w:val="002C23D3"/>
    <w:rsid w:val="003705DE"/>
    <w:rsid w:val="003F3FE3"/>
    <w:rsid w:val="005C67DA"/>
    <w:rsid w:val="00655C0D"/>
    <w:rsid w:val="007F28F2"/>
    <w:rsid w:val="008915F6"/>
    <w:rsid w:val="008E056C"/>
    <w:rsid w:val="009A0403"/>
    <w:rsid w:val="00A023DF"/>
    <w:rsid w:val="00A419E4"/>
    <w:rsid w:val="00AC6077"/>
    <w:rsid w:val="00AF2A54"/>
    <w:rsid w:val="00B30385"/>
    <w:rsid w:val="00BF7F1E"/>
    <w:rsid w:val="00E342A0"/>
    <w:rsid w:val="00E974F8"/>
    <w:rsid w:val="00EC47D0"/>
    <w:rsid w:val="00FA39E5"/>
    <w:rsid w:val="00FF4F03"/>
    <w:rsid w:val="09670379"/>
    <w:rsid w:val="13A330BB"/>
    <w:rsid w:val="216808A0"/>
    <w:rsid w:val="253C0EAC"/>
    <w:rsid w:val="29577F9C"/>
    <w:rsid w:val="5F15360C"/>
    <w:rsid w:val="69E441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42A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E342A0"/>
    <w:pPr>
      <w:tabs>
        <w:tab w:val="center" w:pos="4153"/>
        <w:tab w:val="right" w:pos="8306"/>
      </w:tabs>
      <w:snapToGrid w:val="0"/>
      <w:jc w:val="left"/>
    </w:pPr>
    <w:rPr>
      <w:sz w:val="18"/>
      <w:szCs w:val="18"/>
    </w:rPr>
  </w:style>
  <w:style w:type="paragraph" w:styleId="a4">
    <w:name w:val="header"/>
    <w:basedOn w:val="a"/>
    <w:link w:val="Char0"/>
    <w:qFormat/>
    <w:rsid w:val="00E342A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sid w:val="00E342A0"/>
    <w:rPr>
      <w:kern w:val="2"/>
      <w:sz w:val="18"/>
      <w:szCs w:val="18"/>
    </w:rPr>
  </w:style>
  <w:style w:type="character" w:customStyle="1" w:styleId="Char">
    <w:name w:val="页脚 Char"/>
    <w:basedOn w:val="a0"/>
    <w:link w:val="a3"/>
    <w:uiPriority w:val="99"/>
    <w:rsid w:val="00E342A0"/>
    <w:rPr>
      <w:kern w:val="2"/>
      <w:sz w:val="18"/>
      <w:szCs w:val="18"/>
    </w:rPr>
  </w:style>
  <w:style w:type="paragraph" w:styleId="a5">
    <w:name w:val="Balloon Text"/>
    <w:basedOn w:val="a"/>
    <w:link w:val="Char1"/>
    <w:rsid w:val="008915F6"/>
    <w:rPr>
      <w:sz w:val="18"/>
      <w:szCs w:val="18"/>
    </w:rPr>
  </w:style>
  <w:style w:type="character" w:customStyle="1" w:styleId="Char1">
    <w:name w:val="批注框文本 Char"/>
    <w:basedOn w:val="a0"/>
    <w:link w:val="a5"/>
    <w:rsid w:val="008915F6"/>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190</Words>
  <Characters>1084</Characters>
  <Application>Microsoft Office Word</Application>
  <DocSecurity>0</DocSecurity>
  <Lines>9</Lines>
  <Paragraphs>2</Paragraphs>
  <ScaleCrop>false</ScaleCrop>
  <Company>Microsoft</Company>
  <LinksUpToDate>false</LinksUpToDate>
  <CharactersWithSpaces>1272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acer</cp:lastModifiedBy>
  <cp:revision>4</cp:revision>
  <dcterms:created xsi:type="dcterms:W3CDTF">2016-11-16T11:30:00Z</dcterms:created>
  <dcterms:modified xsi:type="dcterms:W3CDTF">2016-11-17T01:15:00Z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